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283"/>
        <w:contextualSpacing w:val="0"/>
      </w:pPr>
      <w:r w:rsidDel="00000000" w:rsidR="00000000" w:rsidRPr="00000000">
        <w:drawing>
          <wp:inline distB="0" distT="0" distL="0" distR="0">
            <wp:extent cx="1933575" cy="581025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                                               </w:t>
      </w:r>
      <w:r w:rsidDel="00000000" w:rsidR="00000000" w:rsidRPr="00000000">
        <w:drawing>
          <wp:inline distB="0" distT="0" distL="0" distR="0">
            <wp:extent cx="1704975" cy="685800"/>
            <wp:effectExtent b="0" l="0" r="0" t="0"/>
            <wp:docPr descr="logo gne nuovo" id="2" name="image03.jpg"/>
            <a:graphic>
              <a:graphicData uri="http://schemas.openxmlformats.org/drawingml/2006/picture">
                <pic:pic>
                  <pic:nvPicPr>
                    <pic:cNvPr descr="logo gne nuovo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63"/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WORKSHOP DI GIORNALISMO</w:t>
      </w:r>
    </w:p>
    <w:p w:rsidR="00000000" w:rsidDel="00000000" w:rsidP="00000000" w:rsidRDefault="00000000" w:rsidRPr="00000000">
      <w:pPr>
        <w:ind w:right="-63"/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TITOLA 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63"/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Scuola primaria – Secondaria di I grado – Secondaria di II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rtl w:val="0"/>
        </w:rPr>
        <w:t xml:space="preserve">Premessa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781"/>
        </w:tabs>
        <w:spacing w:line="240" w:lineRule="auto"/>
        <w:ind w:right="-59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Sei curioso? Sei caparbio? Hai voglia di capire fino in fondo? Hai voglia di raccontare a tutti quel che hai scoperto? Se vuoi, sei un giornalista.</w:t>
      </w:r>
    </w:p>
    <w:p w:rsidR="00000000" w:rsidDel="00000000" w:rsidP="00000000" w:rsidRDefault="00000000" w:rsidRPr="00000000">
      <w:pPr>
        <w:tabs>
          <w:tab w:val="left" w:pos="9781"/>
        </w:tabs>
        <w:spacing w:line="240" w:lineRule="auto"/>
        <w:ind w:right="-59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Cosa fa un giornalista? Fa – e si fa – domande, cerca fonti e notizie, le verifica, le racconta ai lettori, in modo che tutti capiscano.</w:t>
      </w:r>
    </w:p>
    <w:p w:rsidR="00000000" w:rsidDel="00000000" w:rsidP="00000000" w:rsidRDefault="00000000" w:rsidRPr="00000000">
      <w:pPr>
        <w:tabs>
          <w:tab w:val="left" w:pos="9781"/>
        </w:tabs>
        <w:spacing w:line="240" w:lineRule="auto"/>
        <w:ind w:right="-59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Bisogna però saperle raccontare. Bisogna fare in modo che il lettore le voglia leggere. Bisogna attirare la sua attenzione, a partire dal titolo, che riassume in modo efficace la notizia e la rende interessante.</w:t>
      </w:r>
    </w:p>
    <w:p w:rsidR="00000000" w:rsidDel="00000000" w:rsidP="00000000" w:rsidRDefault="00000000" w:rsidRPr="00000000">
      <w:pPr>
        <w:tabs>
          <w:tab w:val="left" w:pos="9781"/>
        </w:tabs>
        <w:spacing w:line="240" w:lineRule="auto"/>
        <w:ind w:right="-59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 titolazione è uno dei passaggi fondamentali sia sulla carta che sul web, anche se i percorsi e le priorità non sono uguali. Fare i titoli, però, è anche un ottimo esercizio per individuare le parole chiave, per comporre frasi corrette ed essenziali, per addestrarsi alla sintesi e all’efficacia della comunicazione.  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Il workshop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Condotto dalla giornalista professionista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Paola Bolaffio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(direttore responsabile di Giornalisti Nell’Erba), il workshop si propone di insegnare ad usare la “cassetta degli attrezzi giornalistici” per individuare le parole chiave negli articoli e sperimentare la corretta ed efficace titolazione. 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Obiettivo: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 titolazione è uno dei passaggi fondamentali sia sulla carta che sul web, anche se i percorsi e le priorità non sono uguali. Fare i titoli, però, è anche un ottimo esercizio per individuare le parole chiave, per comporre frasi corrette ed essenziali, per addestrarsi alla sintesi e all’efficacia della comunicazione.  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Articolazione: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Il workshop è pensato in moduli declinabili a seconda della fascia d’età, dalle prime classi di primaria alla maturità. E’ flessibile nella durata e nel tipo di attività proposte, per adattarsi a gruppi di varia dimensione e preparazione.  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 costi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WORKSHOP smart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100 €/1.30h per un gruppo di 20/30 persone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WORKSHOP Full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200 €/3h per gruppo di 20/30 persone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(i costi sono per workshop in Roma. Per altre zone, considerare costi trasferta)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Associazione di promozione sociale Il Refuso</w:t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Via Battaglia di Pontegrande 7b</w:t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00040 Monte Porzio C. (Rm)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P.I. 09246801006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Sede redazione: via dei Mattei 11b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00030 Colonna (Rm)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06.94340043 – info@giornalistinellerba.org</w:t>
      </w:r>
      <w:r w:rsidDel="00000000" w:rsidR="00000000" w:rsidRPr="00000000">
        <w:rPr>
          <w:rtl w:val="0"/>
        </w:rPr>
      </w:r>
    </w:p>
    <w:sectPr>
      <w:pgSz w:h="16838" w:w="11906"/>
      <w:pgMar w:bottom="1134" w:top="680" w:left="1021" w:right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Century Gothic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4099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jpg"/><Relationship Id="rId5" Type="http://schemas.openxmlformats.org/officeDocument/2006/relationships/image" Target="media/image02.jpg"/></Relationships>
</file>