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right="-283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1938020" cy="58039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80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vertAlign w:val="baseline"/>
          <w:rtl w:val="0"/>
        </w:rPr>
        <w:t xml:space="preserve">                                                 </w:t>
      </w:r>
      <w:r w:rsidDel="00000000" w:rsidR="00000000" w:rsidRPr="00000000">
        <w:drawing>
          <wp:inline distB="0" distT="0" distL="114300" distR="114300">
            <wp:extent cx="1708785" cy="68580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80" w:right="-25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0" w:line="240" w:lineRule="auto"/>
        <w:ind w:right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0" w:line="240" w:lineRule="auto"/>
        <w:ind w:right="0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u w:val="single"/>
          <w:vertAlign w:val="baseline"/>
          <w:rtl w:val="0"/>
        </w:rPr>
        <w:t xml:space="preserve">CORSO DI GIORNALISMO di 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Nell’epoca del web 2.0, del citizen journalism e dei social network il giornalismo tradizionale è moribondo. L’informazione viene da ovunque, dai cittadini, dai lettori – sempre più attenti e competenti – e dai giornalisti che devono imparare nuovi modi di fare giornalismo. Fondamentale per tutti, e ancor di più nel mondo del web e del web 2.0 e 3.0 saper interpretare le migliaia di notizie che riceviamo ogni giorno e verificare le fonti da cui provengono, per poter produrre a propria volta notizie chiare e corrette.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Sono le idee che stanno all’origine di questo corso di giornalismo di base proposto agli studenti della scuola secondaria di primo grado dall’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associazione di promozione sociale “Il Refuso” 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che promuove e sostiene la libera circolazione delle informazioni 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u w:val="single"/>
          <w:vertAlign w:val="baseline"/>
          <w:rtl w:val="0"/>
        </w:rPr>
        <w:t xml:space="preserve">anche con il progetto Giornalisti Nell’Erba, che coinvolge oltre 6mila studenti dai 5 ai 30 anni e scuole da tutta Italia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. Il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laboratorio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, condotto da docenti qualificati, è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vertAlign w:val="baseline"/>
          <w:rtl w:val="0"/>
        </w:rPr>
        <w:t xml:space="preserve">finalizzato all’apprendimento di quelle nozioni necessarie alla corretta fruizione dell’informazione e alla capacità di partecipazione interattiva con la comunicazione sul web</w:t>
      </w: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vertAlign w:val="baseline"/>
          <w:rtl w:val="0"/>
        </w:rPr>
        <w:t xml:space="preserve">I destinatari: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Studenti delle scuole primarie, secondaria di primo grado e secondarie di secondo grado. 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color w:val="000000"/>
          <w:sz w:val="24"/>
          <w:vertAlign w:val="baseline"/>
          <w:rtl w:val="0"/>
        </w:rPr>
        <w:t xml:space="preserve">Gli obiettivi, proporzionati per fascia d’età, si raggiungono per tutti i livelli e permettono di seguire una linea guida lungo tutto il corso/workshop di giornalismo.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Obiettivi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Rafforzare le risorse autonome di chi legge e di chi deve favorire la libera circolazione delle informazioni.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Favorire la padronanza di tecnologie dell'informazione e della comunicazione e di competenze civiche (obiettivi europei “Istruzione e formazione 2020” (ET 2020). 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Obiettivi specifici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Conoscere le norme che regolano l’informazione in Italia, per diventare cittadini (e “cittadini giornalisti”) consapevoli.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Utilizzare Internet per acquisire informazioni da fonti verificate e affidabili.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Riconoscere e selezionare le fonti affidabili su Internet.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both"/>
        <w:rPr>
          <w:b w:val="0"/>
          <w:sz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Imparare a lavorare in gruppo, come nelle redazioni dei giornali.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Il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Attraverso la simulazione della creazione di un giornale gli studenti potranno vestire gli abiti degli “inviati speciali” e imparare a conoscere la propria quotidianità, interpretarne fatti, riconoscere le notizie e successivamente mettere in pratica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le tecniche di base della comunicazione giornalistica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, che attraverso l’analisi critica permette una scrittura sintetica, chiara ed efficace. In questo contesto è fondamentale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conoscere le regole del gioco comunicativo e giornalistico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per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distinguere le “notizie vere” dalle “bufale”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. Il titolo giusto è una pillola per capire come scegliere le parole chiave della comunicazione immediata. </w:t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L’attacco poi rappresenta un elemento fondamentale e non da ultimo anche la scelta dell’immagine per corredare il pezzo.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Le proposte di singoli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Le fonti e l’articolo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L’attacco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Il titolo giusto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L’intervista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La grafica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Notizie dai social e per i social (#nonsolochat 1 e #nonsolochat 2)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right="0" w:hanging="360"/>
        <w:jc w:val="both"/>
        <w:rPr>
          <w:b w:val="0"/>
          <w:sz w:val="24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I contenuti ambientali e il diritto ambientale</w:t>
      </w:r>
    </w:p>
    <w:p w:rsidR="00000000" w:rsidDel="00000000" w:rsidP="00000000" w:rsidRDefault="00000000" w:rsidRPr="00000000">
      <w:pPr>
        <w:spacing w:after="0" w:before="0" w:line="276" w:lineRule="auto"/>
        <w:ind w:left="7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vertAlign w:val="baseline"/>
          <w:rtl w:val="0"/>
        </w:rPr>
        <w:t xml:space="preserve">I costi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vertAlign w:val="baseline"/>
          <w:rtl w:val="0"/>
        </w:rPr>
        <w:t xml:space="preserve">1 WORKSHOP smart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rtl w:val="0"/>
        </w:rPr>
        <w:t xml:space="preserve">100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vertAlign w:val="baseline"/>
          <w:rtl w:val="0"/>
        </w:rPr>
        <w:t xml:space="preserve">€/1h30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per un gruppo di 20/30 persone.</w:t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CORSO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rtl w:val="0"/>
        </w:rPr>
        <w:t xml:space="preserve">650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€/10h 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per gruppo (2h a incontro)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0"/>
          <w:sz w:val="20"/>
          <w:vertAlign w:val="baseline"/>
          <w:rtl w:val="0"/>
        </w:rPr>
        <w:t xml:space="preserve">(i costi sono per workshop in Roma. Per altre zone, considerare costi trasferta)</w:t>
      </w:r>
    </w:p>
    <w:p w:rsidR="00000000" w:rsidDel="00000000" w:rsidP="00000000" w:rsidRDefault="00000000" w:rsidRPr="00000000">
      <w:pPr>
        <w:spacing w:after="0" w:before="0" w:line="276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Paola Bolaffio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– giornalista professionista dal 1990, giudiziarista per quotidiani nazionali ai tempi di tangentopoli, ideatrice del progetto nazionale Giornalisti Nell’Erba che coinvolge oltre 6mila bambini e ragazzi dai 5 ai 29 anni in tutta Italia, direttore della testata online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color w:val="0000ff"/>
            <w:sz w:val="24"/>
            <w:u w:val="single"/>
            <w:vertAlign w:val="baseline"/>
            <w:rtl w:val="0"/>
          </w:rPr>
          <w:t xml:space="preserve">www.giornalistinellerba.it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Ilaria Romano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– giornalista pubblicista, social media manager del progetto Giornalisti Nell</w:t>
      </w:r>
      <w:r w:rsidDel="00000000" w:rsidR="00000000" w:rsidRPr="00000000">
        <w:rPr>
          <w:rFonts w:ascii="Century Gothic" w:cs="Century Gothic" w:eastAsia="Century Gothic" w:hAnsi="Century Gothic"/>
          <w:sz w:val="24"/>
          <w:rtl w:val="0"/>
        </w:rPr>
        <w:t xml:space="preserve">’Erba, 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collaboratrice del Corriere della Sera/Corriere </w:t>
      </w:r>
      <w:r w:rsidDel="00000000" w:rsidR="00000000" w:rsidRPr="00000000">
        <w:rPr>
          <w:rFonts w:ascii="Century Gothic" w:cs="Century Gothic" w:eastAsia="Century Gothic" w:hAnsi="Century Gothic"/>
          <w:sz w:val="24"/>
          <w:rtl w:val="0"/>
        </w:rPr>
        <w:t xml:space="preserve">Sociale, ha scritto per LaStampa.it, Terre di Mezzo, Il Catone e altre testate.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Giorgia Burzachechi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– giornalista pubblicista, capo ufficio stampa del progetto Giornalisti Nell</w:t>
      </w:r>
      <w:r w:rsidDel="00000000" w:rsidR="00000000" w:rsidRPr="00000000">
        <w:rPr>
          <w:rFonts w:ascii="Century Gothic" w:cs="Century Gothic" w:eastAsia="Century Gothic" w:hAnsi="Century Gothic"/>
          <w:sz w:val="24"/>
          <w:rtl w:val="0"/>
        </w:rPr>
        <w:t xml:space="preserve">’Erba, 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ha scritto per il Corriere Laziale, per Il Catone, per A Tavola e per Giornalisti Nell’Erba.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David De Angelis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– art director del progetto Giornalisti Nell’Erba.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vertAlign w:val="baseline"/>
          <w:rtl w:val="0"/>
        </w:rPr>
        <w:t xml:space="preserve">Tullio Berlenghi</w:t>
      </w:r>
      <w:r w:rsidDel="00000000" w:rsidR="00000000" w:rsidRPr="00000000">
        <w:rPr>
          <w:rFonts w:ascii="Century Gothic" w:cs="Century Gothic" w:eastAsia="Century Gothic" w:hAnsi="Century Gothic"/>
          <w:b w:val="0"/>
          <w:sz w:val="24"/>
          <w:vertAlign w:val="baseline"/>
          <w:rtl w:val="0"/>
        </w:rPr>
        <w:t xml:space="preserve"> – giurista, esperto in diritto ambientale</w:t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Associazione di promozione sociale </w:t>
      </w:r>
      <w:r w:rsidDel="00000000" w:rsidR="00000000" w:rsidRPr="00000000">
        <w:rPr>
          <w:rFonts w:ascii="Garamond" w:cs="Garamond" w:eastAsia="Garamond" w:hAnsi="Garamond"/>
          <w:b w:val="1"/>
          <w:color w:val="595959"/>
          <w:sz w:val="22"/>
          <w:vertAlign w:val="baseline"/>
          <w:rtl w:val="0"/>
        </w:rPr>
        <w:t xml:space="preserve">Il Refuso</w:t>
      </w:r>
    </w:p>
    <w:p w:rsidR="00000000" w:rsidDel="00000000" w:rsidP="00000000" w:rsidRDefault="00000000" w:rsidRPr="00000000">
      <w:pPr>
        <w:spacing w:after="0" w:before="0" w:line="276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spacing w:after="0" w:before="0" w:line="276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spacing w:after="0" w:before="0" w:line="276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P.I. 09246801006</w:t>
      </w:r>
    </w:p>
    <w:p w:rsidR="00000000" w:rsidDel="00000000" w:rsidP="00000000" w:rsidRDefault="00000000" w:rsidRPr="00000000">
      <w:pPr>
        <w:spacing w:after="0" w:before="0" w:line="276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spacing w:after="0" w:before="0" w:line="276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00030 Colonna (Rm)</w:t>
      </w:r>
    </w:p>
    <w:p w:rsidR="00000000" w:rsidDel="00000000" w:rsidP="00000000" w:rsidRDefault="00000000" w:rsidRPr="00000000">
      <w:pPr>
        <w:spacing w:after="0" w:before="0" w:line="276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b w:val="0"/>
          <w:color w:val="595959"/>
          <w:sz w:val="22"/>
          <w:vertAlign w:val="baseline"/>
          <w:rtl w:val="0"/>
        </w:rPr>
        <w:t xml:space="preserve">06.94340043 – info@</w:t>
      </w: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giornalistinellerba.org</w:t>
      </w:r>
      <w:r w:rsidDel="00000000" w:rsidR="00000000" w:rsidRPr="00000000">
        <w:rPr>
          <w:rtl w:val="0"/>
        </w:rPr>
      </w:r>
    </w:p>
    <w:sectPr>
      <w:pgSz w:h="16838" w:w="11906"/>
      <w:pgMar w:bottom="1134" w:top="680" w:left="1021" w:right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  <w:font w:name="Century Gothic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2.png"/><Relationship Id="rId7" Type="http://schemas.openxmlformats.org/officeDocument/2006/relationships/hyperlink" Target="http://www.giornalistinellerba.it" TargetMode="External"/></Relationships>
</file>