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283"/>
        <w:contextualSpacing w:val="0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                                        </w:t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2" name="image03.jpg"/>
            <a:graphic>
              <a:graphicData uri="http://schemas.openxmlformats.org/drawingml/2006/picture">
                <pic:pic>
                  <pic:nvPicPr>
                    <pic:cNvPr descr="logo gne nuovo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WORKSHOP STORIA DEL DIRITTO AMBIENTALE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  <w:jc w:val="center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Questioni ambientali e il loro “diritto”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highlight w:val="white"/>
          <w:rtl w:val="0"/>
        </w:rPr>
        <w:t xml:space="preserve">Obiettivi: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highlight w:val="white"/>
          <w:rtl w:val="0"/>
        </w:rPr>
        <w:t xml:space="preserve">Ripercorrere 2000 anni di storia e vedere il cambiamento – sul piano giuridico - del rapporto dell’uomo con l’ambiente, che è passato dall’assenza di tutela al riconoscimento di bene meritevole di tutela giuridica.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Contenuti 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Terminologia e semantica, profili costituzionali, contrapposizione tra tutela dell’ambiente e crescita economica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Legislazione ambientale: paesaggio, urbanistica, rifiuti, acque, inquinamenti, aree protette, animali, suolo, Valutazione di impatto ambientale, danno ambientale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Quadro internazionale, principi di diritto ambientale dell’Unione Europea. 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Target: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Secondaria di Secondo Grado, Università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rtl w:val="0"/>
        </w:rPr>
        <w:t xml:space="preserve">I costi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WORKSHOP smart 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100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€/1.30h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 per un gruppo di 20/30 persone</w:t>
      </w:r>
    </w:p>
    <w:p w:rsidR="00000000" w:rsidDel="00000000" w:rsidP="00000000" w:rsidRDefault="00000000" w:rsidRPr="00000000">
      <w:pPr>
        <w:ind w:right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WORKSHOP full 180 €/3h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(i costi sono per workshop in Roma. Per altre zone, considerare costi trasferta)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rtl w:val="0"/>
        </w:rPr>
        <w:t xml:space="preserve">Docente</w:t>
      </w:r>
    </w:p>
    <w:p w:rsidR="00000000" w:rsidDel="00000000" w:rsidP="00000000" w:rsidRDefault="00000000" w:rsidRPr="00000000">
      <w:pPr>
        <w:spacing w:after="90" w:before="90"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Tullio Berlenghi,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rtl w:val="0"/>
        </w:rPr>
        <w:t xml:space="preserve">giurista, esperto in diritto ambientale, legislazione ambientale e mobilità sostenibile, </w:t>
      </w:r>
      <w:r w:rsidDel="00000000" w:rsidR="00000000" w:rsidRPr="00000000">
        <w:rPr>
          <w:rFonts w:ascii="Century Gothic" w:cs="Century Gothic" w:eastAsia="Century Gothic" w:hAnsi="Century Gothic"/>
          <w:sz w:val="20"/>
          <w:rtl w:val="0"/>
        </w:rPr>
        <w:t xml:space="preserve">autore di “Come difendersi dagli ambientalisti”, </w:t>
      </w:r>
      <w:r w:rsidDel="00000000" w:rsidR="00000000" w:rsidRPr="00000000">
        <w:rPr>
          <w:rFonts w:ascii="Century Gothic" w:cs="Century Gothic" w:eastAsia="Century Gothic" w:hAnsi="Century Gothic"/>
          <w:sz w:val="20"/>
          <w:highlight w:val="white"/>
          <w:rtl w:val="0"/>
        </w:rPr>
        <w:t xml:space="preserve">si presenta così sul suo sito: nato a La Spezia il 27 agosto 1963. Fondamentalmente pigro e refrattario ad ogni assunzione di responsabilità, avrebbe condotto – se avesse potuto – una vita tranquilla, solitaria, oziosa e noiosa. La vita, si sa, non è mai particolarmente disponibile ad assecondare le inclinazioni individuali e il buon Tullio, dopo aver cercato di evitare per lungo tempo (e in parte con successo) di assumere impegni lavorativi, sociali, politici, affettivi… e via discorrendo.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P.I. 09246801006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00030 Colonna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06.94340043 – info@giornalistinellerba.org</w:t>
      </w:r>
      <w:r w:rsidDel="00000000" w:rsidR="00000000" w:rsidRPr="00000000">
        <w:rPr>
          <w:rFonts w:ascii="Verdana" w:cs="Verdana" w:eastAsia="Verdana" w:hAnsi="Verdana"/>
          <w:b w:val="1"/>
          <w:color w:val="595959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680" w:left="1021" w:right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entury Gothic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4099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1.jpg"/></Relationships>
</file>